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B7F31" w14:textId="77777777" w:rsidR="00D930BF" w:rsidRPr="000E7542" w:rsidRDefault="00D930BF" w:rsidP="00D930BF">
      <w:pPr>
        <w:pStyle w:val="Descripcin"/>
        <w:keepNext/>
        <w:ind w:firstLine="0"/>
        <w:rPr>
          <w:color w:val="auto"/>
          <w:sz w:val="24"/>
          <w:szCs w:val="24"/>
        </w:rPr>
      </w:pPr>
      <w:bookmarkStart w:id="0" w:name="_Toc156466857"/>
      <w:r w:rsidRPr="000E7542">
        <w:rPr>
          <w:b/>
          <w:bCs/>
          <w:color w:val="auto"/>
          <w:sz w:val="24"/>
          <w:szCs w:val="24"/>
        </w:rPr>
        <w:t xml:space="preserve">Apéndice </w:t>
      </w:r>
      <w:r w:rsidRPr="000E7542">
        <w:rPr>
          <w:b/>
          <w:bCs/>
          <w:color w:val="auto"/>
          <w:sz w:val="24"/>
          <w:szCs w:val="24"/>
        </w:rPr>
        <w:fldChar w:fldCharType="begin"/>
      </w:r>
      <w:r w:rsidRPr="000E7542">
        <w:rPr>
          <w:b/>
          <w:bCs/>
          <w:color w:val="auto"/>
          <w:sz w:val="24"/>
          <w:szCs w:val="24"/>
        </w:rPr>
        <w:instrText xml:space="preserve"> SEQ Apéndice \* ALPHABETIC </w:instrText>
      </w:r>
      <w:r w:rsidRPr="000E7542">
        <w:rPr>
          <w:b/>
          <w:bCs/>
          <w:color w:val="auto"/>
          <w:sz w:val="24"/>
          <w:szCs w:val="24"/>
        </w:rPr>
        <w:fldChar w:fldCharType="separate"/>
      </w:r>
      <w:r>
        <w:rPr>
          <w:b/>
          <w:bCs/>
          <w:noProof/>
          <w:color w:val="auto"/>
          <w:sz w:val="24"/>
          <w:szCs w:val="24"/>
        </w:rPr>
        <w:t>B</w:t>
      </w:r>
      <w:r w:rsidRPr="000E7542">
        <w:rPr>
          <w:b/>
          <w:bCs/>
          <w:color w:val="auto"/>
          <w:sz w:val="24"/>
          <w:szCs w:val="24"/>
        </w:rPr>
        <w:fldChar w:fldCharType="end"/>
      </w:r>
      <w:r w:rsidRPr="000E7542">
        <w:rPr>
          <w:color w:val="auto"/>
          <w:sz w:val="24"/>
          <w:szCs w:val="24"/>
        </w:rPr>
        <w:t xml:space="preserve"> Herramienta de multimedia</w:t>
      </w:r>
      <w:bookmarkEnd w:id="0"/>
    </w:p>
    <w:tbl>
      <w:tblPr>
        <w:tblW w:w="0" w:type="auto"/>
        <w:tblCellMar>
          <w:left w:w="70" w:type="dxa"/>
          <w:right w:w="70" w:type="dxa"/>
        </w:tblCellMar>
        <w:tblLook w:val="04A0" w:firstRow="1" w:lastRow="0" w:firstColumn="1" w:lastColumn="0" w:noHBand="0" w:noVBand="1"/>
      </w:tblPr>
      <w:tblGrid>
        <w:gridCol w:w="1230"/>
        <w:gridCol w:w="1454"/>
        <w:gridCol w:w="2881"/>
        <w:gridCol w:w="1741"/>
        <w:gridCol w:w="1532"/>
      </w:tblGrid>
      <w:tr w:rsidR="00D930BF" w:rsidRPr="00F9353E" w14:paraId="422BC8F4" w14:textId="77777777" w:rsidTr="00751405">
        <w:trPr>
          <w:trHeight w:val="315"/>
        </w:trPr>
        <w:tc>
          <w:tcPr>
            <w:tcW w:w="1230" w:type="dxa"/>
            <w:tcBorders>
              <w:top w:val="single" w:sz="4" w:space="0" w:color="auto"/>
              <w:bottom w:val="single" w:sz="4" w:space="0" w:color="auto"/>
            </w:tcBorders>
            <w:shd w:val="clear" w:color="auto" w:fill="auto"/>
            <w:noWrap/>
            <w:vAlign w:val="center"/>
            <w:hideMark/>
          </w:tcPr>
          <w:p w14:paraId="1CFB346C"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w:t>
            </w:r>
          </w:p>
        </w:tc>
        <w:tc>
          <w:tcPr>
            <w:tcW w:w="1454" w:type="dxa"/>
            <w:tcBorders>
              <w:top w:val="single" w:sz="4" w:space="0" w:color="auto"/>
              <w:bottom w:val="single" w:sz="4" w:space="0" w:color="auto"/>
            </w:tcBorders>
            <w:shd w:val="clear" w:color="auto" w:fill="auto"/>
            <w:noWrap/>
            <w:vAlign w:val="center"/>
            <w:hideMark/>
          </w:tcPr>
          <w:p w14:paraId="6C16E0DC"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r>
              <w:rPr>
                <w:rFonts w:eastAsia="Times New Roman" w:cs="Times New Roman"/>
                <w:b/>
                <w:bCs/>
                <w:color w:val="000000"/>
                <w:sz w:val="16"/>
                <w:szCs w:val="16"/>
                <w:lang w:val="es-CO" w:eastAsia="es-CO"/>
              </w:rPr>
              <w:t>Casos de uso</w:t>
            </w:r>
          </w:p>
        </w:tc>
        <w:tc>
          <w:tcPr>
            <w:tcW w:w="2881" w:type="dxa"/>
            <w:tcBorders>
              <w:top w:val="single" w:sz="4" w:space="0" w:color="auto"/>
              <w:bottom w:val="single" w:sz="4" w:space="0" w:color="auto"/>
            </w:tcBorders>
            <w:shd w:val="clear" w:color="auto" w:fill="auto"/>
            <w:noWrap/>
            <w:vAlign w:val="center"/>
            <w:hideMark/>
          </w:tcPr>
          <w:p w14:paraId="44BD38A8"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r w:rsidRPr="00F9353E">
              <w:rPr>
                <w:rFonts w:eastAsia="Times New Roman" w:cs="Times New Roman"/>
                <w:b/>
                <w:bCs/>
                <w:color w:val="000000"/>
                <w:sz w:val="16"/>
                <w:szCs w:val="16"/>
                <w:lang w:val="es-CO" w:eastAsia="es-CO"/>
              </w:rPr>
              <w:t>Descripción</w:t>
            </w:r>
          </w:p>
        </w:tc>
        <w:tc>
          <w:tcPr>
            <w:tcW w:w="0" w:type="auto"/>
            <w:tcBorders>
              <w:top w:val="single" w:sz="4" w:space="0" w:color="auto"/>
              <w:bottom w:val="single" w:sz="4" w:space="0" w:color="auto"/>
            </w:tcBorders>
            <w:shd w:val="clear" w:color="auto" w:fill="auto"/>
            <w:noWrap/>
            <w:vAlign w:val="center"/>
            <w:hideMark/>
          </w:tcPr>
          <w:p w14:paraId="2A334BB1"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r w:rsidRPr="00F9353E">
              <w:rPr>
                <w:rFonts w:eastAsia="Times New Roman" w:cs="Times New Roman"/>
                <w:b/>
                <w:bCs/>
                <w:color w:val="000000"/>
                <w:sz w:val="16"/>
                <w:szCs w:val="16"/>
                <w:lang w:val="es-CO" w:eastAsia="es-CO"/>
              </w:rPr>
              <w:t>Análisis</w:t>
            </w:r>
          </w:p>
        </w:tc>
        <w:tc>
          <w:tcPr>
            <w:tcW w:w="0" w:type="auto"/>
            <w:tcBorders>
              <w:top w:val="single" w:sz="4" w:space="0" w:color="auto"/>
              <w:bottom w:val="single" w:sz="4" w:space="0" w:color="auto"/>
            </w:tcBorders>
            <w:shd w:val="clear" w:color="auto" w:fill="auto"/>
            <w:noWrap/>
            <w:vAlign w:val="center"/>
            <w:hideMark/>
          </w:tcPr>
          <w:p w14:paraId="0CEB83CB"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r w:rsidRPr="00F9353E">
              <w:rPr>
                <w:rFonts w:eastAsia="Times New Roman" w:cs="Times New Roman"/>
                <w:b/>
                <w:bCs/>
                <w:color w:val="000000"/>
                <w:sz w:val="16"/>
                <w:szCs w:val="16"/>
                <w:lang w:val="es-CO" w:eastAsia="es-CO"/>
              </w:rPr>
              <w:t>Variable</w:t>
            </w:r>
          </w:p>
        </w:tc>
      </w:tr>
      <w:tr w:rsidR="00D930BF" w:rsidRPr="00F9353E" w14:paraId="7006CA6C" w14:textId="77777777" w:rsidTr="00751405">
        <w:trPr>
          <w:trHeight w:val="900"/>
        </w:trPr>
        <w:tc>
          <w:tcPr>
            <w:tcW w:w="1230" w:type="dxa"/>
            <w:vMerge w:val="restart"/>
            <w:tcBorders>
              <w:top w:val="single" w:sz="4" w:space="0" w:color="auto"/>
            </w:tcBorders>
            <w:shd w:val="clear" w:color="auto" w:fill="auto"/>
            <w:noWrap/>
            <w:vAlign w:val="center"/>
            <w:hideMark/>
          </w:tcPr>
          <w:p w14:paraId="24C91A0D"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r w:rsidRPr="00F9353E">
              <w:rPr>
                <w:rFonts w:eastAsia="Times New Roman" w:cs="Times New Roman"/>
                <w:b/>
                <w:bCs/>
                <w:color w:val="000000"/>
                <w:sz w:val="16"/>
                <w:szCs w:val="16"/>
                <w:lang w:val="es-CO" w:eastAsia="es-CO"/>
              </w:rPr>
              <w:t xml:space="preserve">Cambios Aprobados </w:t>
            </w:r>
          </w:p>
        </w:tc>
        <w:tc>
          <w:tcPr>
            <w:tcW w:w="1454" w:type="dxa"/>
            <w:tcBorders>
              <w:top w:val="single" w:sz="4" w:space="0" w:color="auto"/>
            </w:tcBorders>
            <w:shd w:val="clear" w:color="auto" w:fill="auto"/>
            <w:vAlign w:val="center"/>
            <w:hideMark/>
          </w:tcPr>
          <w:p w14:paraId="51F91D4B"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Índice para seleccionar el capítulo</w:t>
            </w:r>
          </w:p>
        </w:tc>
        <w:tc>
          <w:tcPr>
            <w:tcW w:w="2881" w:type="dxa"/>
            <w:tcBorders>
              <w:top w:val="single" w:sz="4" w:space="0" w:color="auto"/>
            </w:tcBorders>
            <w:shd w:val="clear" w:color="auto" w:fill="auto"/>
            <w:vAlign w:val="center"/>
            <w:hideMark/>
          </w:tcPr>
          <w:p w14:paraId="5CE5A567"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El usuario debe recorrer todas las </w:t>
            </w:r>
            <w:proofErr w:type="spellStart"/>
            <w:r w:rsidRPr="00F9353E">
              <w:rPr>
                <w:rFonts w:eastAsia="Times New Roman" w:cs="Times New Roman"/>
                <w:color w:val="000000"/>
                <w:sz w:val="16"/>
                <w:szCs w:val="16"/>
                <w:lang w:val="es-CO" w:eastAsia="es-CO"/>
              </w:rPr>
              <w:t>slides</w:t>
            </w:r>
            <w:proofErr w:type="spellEnd"/>
            <w:r w:rsidRPr="00F9353E">
              <w:rPr>
                <w:rFonts w:eastAsia="Times New Roman" w:cs="Times New Roman"/>
                <w:color w:val="000000"/>
                <w:sz w:val="16"/>
                <w:szCs w:val="16"/>
                <w:lang w:val="es-CO" w:eastAsia="es-CO"/>
              </w:rPr>
              <w:t xml:space="preserve"> para cambiar de un capítulo a otro.</w:t>
            </w:r>
          </w:p>
        </w:tc>
        <w:tc>
          <w:tcPr>
            <w:tcW w:w="0" w:type="auto"/>
            <w:tcBorders>
              <w:top w:val="single" w:sz="4" w:space="0" w:color="auto"/>
            </w:tcBorders>
            <w:shd w:val="clear" w:color="auto" w:fill="auto"/>
            <w:vAlign w:val="center"/>
            <w:hideMark/>
          </w:tcPr>
          <w:p w14:paraId="7107547B"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Es una corrección necesaria y posible dentro del presupuesto. Aporta a la experiencia del usuario.</w:t>
            </w:r>
          </w:p>
        </w:tc>
        <w:tc>
          <w:tcPr>
            <w:tcW w:w="0" w:type="auto"/>
            <w:tcBorders>
              <w:top w:val="single" w:sz="4" w:space="0" w:color="auto"/>
            </w:tcBorders>
            <w:shd w:val="clear" w:color="auto" w:fill="auto"/>
            <w:vAlign w:val="center"/>
            <w:hideMark/>
          </w:tcPr>
          <w:p w14:paraId="4140DA62"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Interfaz amigable, Diseño y disposición de contenidos y Facilidad de uso</w:t>
            </w:r>
          </w:p>
        </w:tc>
      </w:tr>
      <w:tr w:rsidR="00D930BF" w:rsidRPr="00F9353E" w14:paraId="1480C7B2" w14:textId="77777777" w:rsidTr="00751405">
        <w:trPr>
          <w:trHeight w:val="1132"/>
        </w:trPr>
        <w:tc>
          <w:tcPr>
            <w:tcW w:w="1230" w:type="dxa"/>
            <w:vMerge/>
            <w:vAlign w:val="center"/>
            <w:hideMark/>
          </w:tcPr>
          <w:p w14:paraId="4F9095DB"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p>
        </w:tc>
        <w:tc>
          <w:tcPr>
            <w:tcW w:w="1454" w:type="dxa"/>
            <w:shd w:val="clear" w:color="auto" w:fill="auto"/>
            <w:vAlign w:val="center"/>
            <w:hideMark/>
          </w:tcPr>
          <w:p w14:paraId="78D1DFE0"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El radio en la actividad </w:t>
            </w:r>
            <w:proofErr w:type="gramStart"/>
            <w:r w:rsidRPr="00F9353E">
              <w:rPr>
                <w:rFonts w:eastAsia="Times New Roman" w:cs="Times New Roman"/>
                <w:color w:val="000000"/>
                <w:sz w:val="16"/>
                <w:szCs w:val="16"/>
                <w:lang w:val="es-CO" w:eastAsia="es-CO"/>
              </w:rPr>
              <w:t>final,</w:t>
            </w:r>
            <w:proofErr w:type="gramEnd"/>
            <w:r w:rsidRPr="00F9353E">
              <w:rPr>
                <w:rFonts w:eastAsia="Times New Roman" w:cs="Times New Roman"/>
                <w:color w:val="000000"/>
                <w:sz w:val="16"/>
                <w:szCs w:val="16"/>
                <w:lang w:val="es-CO" w:eastAsia="es-CO"/>
              </w:rPr>
              <w:t xml:space="preserve"> no es considerado un riesgo</w:t>
            </w:r>
          </w:p>
        </w:tc>
        <w:tc>
          <w:tcPr>
            <w:tcW w:w="2881" w:type="dxa"/>
            <w:shd w:val="clear" w:color="auto" w:fill="auto"/>
            <w:vAlign w:val="center"/>
            <w:hideMark/>
          </w:tcPr>
          <w:p w14:paraId="2686951B"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En la actividad final de identificación de riesgos en un entorno laboral hay un radio que es</w:t>
            </w:r>
            <w:r>
              <w:rPr>
                <w:rFonts w:eastAsia="Times New Roman" w:cs="Times New Roman"/>
                <w:color w:val="000000"/>
                <w:sz w:val="16"/>
                <w:szCs w:val="16"/>
                <w:lang w:val="es-CO" w:eastAsia="es-CO"/>
              </w:rPr>
              <w:t xml:space="preserve"> </w:t>
            </w:r>
            <w:r w:rsidRPr="00F9353E">
              <w:rPr>
                <w:rFonts w:eastAsia="Times New Roman" w:cs="Times New Roman"/>
                <w:color w:val="000000"/>
                <w:sz w:val="16"/>
                <w:szCs w:val="16"/>
                <w:lang w:val="es-CO" w:eastAsia="es-CO"/>
              </w:rPr>
              <w:t>catal</w:t>
            </w:r>
            <w:r>
              <w:rPr>
                <w:rFonts w:eastAsia="Times New Roman" w:cs="Times New Roman"/>
                <w:color w:val="000000"/>
                <w:sz w:val="16"/>
                <w:szCs w:val="16"/>
                <w:lang w:val="es-CO" w:eastAsia="es-CO"/>
              </w:rPr>
              <w:t>o</w:t>
            </w:r>
            <w:r w:rsidRPr="00F9353E">
              <w:rPr>
                <w:rFonts w:eastAsia="Times New Roman" w:cs="Times New Roman"/>
                <w:color w:val="000000"/>
                <w:sz w:val="16"/>
                <w:szCs w:val="16"/>
                <w:lang w:val="es-CO" w:eastAsia="es-CO"/>
              </w:rPr>
              <w:t>ga</w:t>
            </w:r>
            <w:r>
              <w:rPr>
                <w:rFonts w:eastAsia="Times New Roman" w:cs="Times New Roman"/>
                <w:color w:val="000000"/>
                <w:sz w:val="16"/>
                <w:szCs w:val="16"/>
                <w:lang w:val="es-CO" w:eastAsia="es-CO"/>
              </w:rPr>
              <w:t>do</w:t>
            </w:r>
            <w:r w:rsidRPr="00F9353E">
              <w:rPr>
                <w:rFonts w:eastAsia="Times New Roman" w:cs="Times New Roman"/>
                <w:color w:val="000000"/>
                <w:sz w:val="16"/>
                <w:szCs w:val="16"/>
                <w:lang w:val="es-CO" w:eastAsia="es-CO"/>
              </w:rPr>
              <w:t xml:space="preserve"> como un riesgo</w:t>
            </w:r>
          </w:p>
        </w:tc>
        <w:tc>
          <w:tcPr>
            <w:tcW w:w="0" w:type="auto"/>
            <w:shd w:val="clear" w:color="auto" w:fill="auto"/>
            <w:vAlign w:val="center"/>
            <w:hideMark/>
          </w:tcPr>
          <w:p w14:paraId="1412E2AF"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Un docente que experimento la herramienta nos hizo la sugerencia, que sería más adecuado incrementar el tamaño de la fuente (Un parlante más grande).</w:t>
            </w:r>
          </w:p>
        </w:tc>
        <w:tc>
          <w:tcPr>
            <w:tcW w:w="0" w:type="auto"/>
            <w:shd w:val="clear" w:color="auto" w:fill="auto"/>
            <w:vAlign w:val="center"/>
            <w:hideMark/>
          </w:tcPr>
          <w:p w14:paraId="338F1E0E"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 Diseño y disposición de contenidos, Utilidad percibida</w:t>
            </w:r>
          </w:p>
        </w:tc>
      </w:tr>
      <w:tr w:rsidR="00D930BF" w:rsidRPr="00F9353E" w14:paraId="33B1F7A6" w14:textId="77777777" w:rsidTr="00751405">
        <w:trPr>
          <w:trHeight w:val="836"/>
        </w:trPr>
        <w:tc>
          <w:tcPr>
            <w:tcW w:w="1230" w:type="dxa"/>
            <w:vMerge w:val="restart"/>
            <w:shd w:val="clear" w:color="auto" w:fill="auto"/>
            <w:vAlign w:val="center"/>
            <w:hideMark/>
          </w:tcPr>
          <w:p w14:paraId="2B79AB84"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r w:rsidRPr="00F9353E">
              <w:rPr>
                <w:rFonts w:eastAsia="Times New Roman" w:cs="Times New Roman"/>
                <w:b/>
                <w:bCs/>
                <w:color w:val="000000"/>
                <w:sz w:val="16"/>
                <w:szCs w:val="16"/>
                <w:lang w:val="es-CO" w:eastAsia="es-CO"/>
              </w:rPr>
              <w:t>Cambios que requieren aprobación</w:t>
            </w:r>
          </w:p>
        </w:tc>
        <w:tc>
          <w:tcPr>
            <w:tcW w:w="1454" w:type="dxa"/>
            <w:shd w:val="clear" w:color="auto" w:fill="auto"/>
            <w:vAlign w:val="center"/>
            <w:hideMark/>
          </w:tcPr>
          <w:p w14:paraId="75B5B51A"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Dificultad para identificar el riesgo #12 en la actividad final</w:t>
            </w:r>
          </w:p>
        </w:tc>
        <w:tc>
          <w:tcPr>
            <w:tcW w:w="2881" w:type="dxa"/>
            <w:shd w:val="clear" w:color="auto" w:fill="auto"/>
            <w:vAlign w:val="center"/>
            <w:hideMark/>
          </w:tcPr>
          <w:p w14:paraId="56F19197"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En la actividad del capítulo 5 la mayoría de los estudiantes tenía dificultad al encontrar el riesgo #12</w:t>
            </w:r>
          </w:p>
        </w:tc>
        <w:tc>
          <w:tcPr>
            <w:tcW w:w="0" w:type="auto"/>
            <w:shd w:val="clear" w:color="auto" w:fill="auto"/>
            <w:vAlign w:val="center"/>
            <w:hideMark/>
          </w:tcPr>
          <w:p w14:paraId="0C6B4478"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Puede ser un fallo al dar clic sobre el riesgo, pero algunos estudiantes encontraban el riesgo #12 con facilidad.</w:t>
            </w:r>
          </w:p>
        </w:tc>
        <w:tc>
          <w:tcPr>
            <w:tcW w:w="0" w:type="auto"/>
            <w:shd w:val="clear" w:color="auto" w:fill="auto"/>
            <w:vAlign w:val="center"/>
            <w:hideMark/>
          </w:tcPr>
          <w:p w14:paraId="0A2E77AE"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Interfaz amigable, Diseño y disposición de contenidos y Facilidad de uso</w:t>
            </w:r>
          </w:p>
        </w:tc>
      </w:tr>
      <w:tr w:rsidR="00D930BF" w:rsidRPr="00F9353E" w14:paraId="0D279DBD" w14:textId="77777777" w:rsidTr="00751405">
        <w:trPr>
          <w:trHeight w:val="820"/>
        </w:trPr>
        <w:tc>
          <w:tcPr>
            <w:tcW w:w="1230" w:type="dxa"/>
            <w:vMerge/>
            <w:vAlign w:val="center"/>
            <w:hideMark/>
          </w:tcPr>
          <w:p w14:paraId="4D765FF0"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p>
        </w:tc>
        <w:tc>
          <w:tcPr>
            <w:tcW w:w="1454" w:type="dxa"/>
            <w:shd w:val="clear" w:color="auto" w:fill="auto"/>
            <w:vAlign w:val="center"/>
            <w:hideMark/>
          </w:tcPr>
          <w:p w14:paraId="514B62B6"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Algunas </w:t>
            </w:r>
            <w:proofErr w:type="spellStart"/>
            <w:r w:rsidRPr="00F9353E">
              <w:rPr>
                <w:rFonts w:eastAsia="Times New Roman" w:cs="Times New Roman"/>
                <w:color w:val="000000"/>
                <w:sz w:val="16"/>
                <w:szCs w:val="16"/>
                <w:lang w:val="es-CO" w:eastAsia="es-CO"/>
              </w:rPr>
              <w:t>slides</w:t>
            </w:r>
            <w:proofErr w:type="spellEnd"/>
            <w:r w:rsidRPr="00F9353E">
              <w:rPr>
                <w:rFonts w:eastAsia="Times New Roman" w:cs="Times New Roman"/>
                <w:color w:val="000000"/>
                <w:sz w:val="16"/>
                <w:szCs w:val="16"/>
                <w:lang w:val="es-CO" w:eastAsia="es-CO"/>
              </w:rPr>
              <w:t xml:space="preserve"> no tienen todos los subtítulos </w:t>
            </w:r>
          </w:p>
        </w:tc>
        <w:tc>
          <w:tcPr>
            <w:tcW w:w="2881" w:type="dxa"/>
            <w:shd w:val="clear" w:color="auto" w:fill="auto"/>
            <w:vAlign w:val="center"/>
            <w:hideMark/>
          </w:tcPr>
          <w:p w14:paraId="5416C8DE"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Después de hacer la encuesta algunos estudiantes comentaron respecto al componente inclusivo que algunas </w:t>
            </w:r>
            <w:proofErr w:type="spellStart"/>
            <w:r w:rsidRPr="00F9353E">
              <w:rPr>
                <w:rFonts w:eastAsia="Times New Roman" w:cs="Times New Roman"/>
                <w:color w:val="000000"/>
                <w:sz w:val="16"/>
                <w:szCs w:val="16"/>
                <w:lang w:val="es-CO" w:eastAsia="es-CO"/>
              </w:rPr>
              <w:t>slides</w:t>
            </w:r>
            <w:proofErr w:type="spellEnd"/>
            <w:r w:rsidRPr="00F9353E">
              <w:rPr>
                <w:rFonts w:eastAsia="Times New Roman" w:cs="Times New Roman"/>
                <w:color w:val="000000"/>
                <w:sz w:val="16"/>
                <w:szCs w:val="16"/>
                <w:lang w:val="es-CO" w:eastAsia="es-CO"/>
              </w:rPr>
              <w:t xml:space="preserve"> no tenían los mismos subtítulos que el audio</w:t>
            </w:r>
          </w:p>
        </w:tc>
        <w:tc>
          <w:tcPr>
            <w:tcW w:w="0" w:type="auto"/>
            <w:shd w:val="clear" w:color="auto" w:fill="auto"/>
            <w:vAlign w:val="center"/>
            <w:hideMark/>
          </w:tcPr>
          <w:p w14:paraId="0924C3F2"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Se validará primero si en realidad faltan subtítulos, pues el componente inclusivo es importante. </w:t>
            </w:r>
          </w:p>
        </w:tc>
        <w:tc>
          <w:tcPr>
            <w:tcW w:w="0" w:type="auto"/>
            <w:shd w:val="clear" w:color="auto" w:fill="auto"/>
            <w:vAlign w:val="center"/>
            <w:hideMark/>
          </w:tcPr>
          <w:p w14:paraId="627DBF7A"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Narrativa atractiva, Inclusión</w:t>
            </w:r>
          </w:p>
        </w:tc>
      </w:tr>
      <w:tr w:rsidR="00D930BF" w:rsidRPr="00F9353E" w14:paraId="1DC38BEA" w14:textId="77777777" w:rsidTr="00751405">
        <w:trPr>
          <w:trHeight w:val="1173"/>
        </w:trPr>
        <w:tc>
          <w:tcPr>
            <w:tcW w:w="1230" w:type="dxa"/>
            <w:vMerge/>
            <w:vAlign w:val="center"/>
            <w:hideMark/>
          </w:tcPr>
          <w:p w14:paraId="43DB1D26"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p>
        </w:tc>
        <w:tc>
          <w:tcPr>
            <w:tcW w:w="1454" w:type="dxa"/>
            <w:shd w:val="clear" w:color="auto" w:fill="auto"/>
            <w:vAlign w:val="center"/>
            <w:hideMark/>
          </w:tcPr>
          <w:p w14:paraId="47FA0B34"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Evaluación de aprendizaje después de cada capítulo</w:t>
            </w:r>
          </w:p>
        </w:tc>
        <w:tc>
          <w:tcPr>
            <w:tcW w:w="2881" w:type="dxa"/>
            <w:shd w:val="clear" w:color="auto" w:fill="auto"/>
            <w:vAlign w:val="center"/>
            <w:hideMark/>
          </w:tcPr>
          <w:p w14:paraId="5E8C9FE8"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El profesor comentó que es de gran utilidad hacer pequeñas evaluaciones después de cada capítulo para mantener concentrado y motivado al estudiante</w:t>
            </w:r>
          </w:p>
        </w:tc>
        <w:tc>
          <w:tcPr>
            <w:tcW w:w="0" w:type="auto"/>
            <w:shd w:val="clear" w:color="auto" w:fill="auto"/>
            <w:vAlign w:val="center"/>
            <w:hideMark/>
          </w:tcPr>
          <w:p w14:paraId="53DF7533"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La evaluación después de cada capítulo puede motivar al estudiante a realmente estudiar el contenido, pero requiere de un gran esfuerzo de programación </w:t>
            </w:r>
          </w:p>
        </w:tc>
        <w:tc>
          <w:tcPr>
            <w:tcW w:w="0" w:type="auto"/>
            <w:shd w:val="clear" w:color="auto" w:fill="auto"/>
            <w:vAlign w:val="center"/>
            <w:hideMark/>
          </w:tcPr>
          <w:p w14:paraId="3EA01146"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Motivación, Retroalimentación, Independencia</w:t>
            </w:r>
          </w:p>
        </w:tc>
      </w:tr>
      <w:tr w:rsidR="00D930BF" w:rsidRPr="00F9353E" w14:paraId="30CCE2F1" w14:textId="77777777" w:rsidTr="00751405">
        <w:trPr>
          <w:trHeight w:val="1672"/>
        </w:trPr>
        <w:tc>
          <w:tcPr>
            <w:tcW w:w="1230" w:type="dxa"/>
            <w:vMerge/>
            <w:vAlign w:val="center"/>
            <w:hideMark/>
          </w:tcPr>
          <w:p w14:paraId="71DB4F8B"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p>
        </w:tc>
        <w:tc>
          <w:tcPr>
            <w:tcW w:w="1454" w:type="dxa"/>
            <w:shd w:val="clear" w:color="auto" w:fill="auto"/>
            <w:vAlign w:val="center"/>
            <w:hideMark/>
          </w:tcPr>
          <w:p w14:paraId="058788E7"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Ayuda para la detección de los riesgos en la actividad final</w:t>
            </w:r>
          </w:p>
        </w:tc>
        <w:tc>
          <w:tcPr>
            <w:tcW w:w="2881" w:type="dxa"/>
            <w:shd w:val="clear" w:color="auto" w:fill="auto"/>
            <w:vAlign w:val="center"/>
            <w:hideMark/>
          </w:tcPr>
          <w:p w14:paraId="3B9BADB5"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El profesor nos sugirió quitar esa ayuda de sombreo al posar el </w:t>
            </w:r>
            <w:proofErr w:type="gramStart"/>
            <w:r w:rsidRPr="00F9353E">
              <w:rPr>
                <w:rFonts w:eastAsia="Times New Roman" w:cs="Times New Roman"/>
                <w:color w:val="000000"/>
                <w:sz w:val="16"/>
                <w:szCs w:val="16"/>
                <w:lang w:val="es-CO" w:eastAsia="es-CO"/>
              </w:rPr>
              <w:t>mouse</w:t>
            </w:r>
            <w:proofErr w:type="gramEnd"/>
            <w:r w:rsidRPr="00F9353E">
              <w:rPr>
                <w:rFonts w:eastAsia="Times New Roman" w:cs="Times New Roman"/>
                <w:color w:val="000000"/>
                <w:sz w:val="16"/>
                <w:szCs w:val="16"/>
                <w:lang w:val="es-CO" w:eastAsia="es-CO"/>
              </w:rPr>
              <w:t xml:space="preserve"> sobre el riesgo porque considera que el estudiante debe estar en la capacidad de determinar los riesgos sin ninguna ayuda.</w:t>
            </w:r>
          </w:p>
        </w:tc>
        <w:tc>
          <w:tcPr>
            <w:tcW w:w="0" w:type="auto"/>
            <w:shd w:val="clear" w:color="auto" w:fill="auto"/>
            <w:vAlign w:val="center"/>
            <w:hideMark/>
          </w:tcPr>
          <w:p w14:paraId="5E63BD89"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Es un argumento muy válido si el usuario es un estudiante. Sin embargo, se estima que la herramienta también pueda ser usada por otro tipo de usuarios que no cuentan con la preparación de un ingeniero. Se podría verificar con el programador la complejidad de este proceso.</w:t>
            </w:r>
          </w:p>
        </w:tc>
        <w:tc>
          <w:tcPr>
            <w:tcW w:w="0" w:type="auto"/>
            <w:shd w:val="clear" w:color="auto" w:fill="auto"/>
            <w:vAlign w:val="center"/>
            <w:hideMark/>
          </w:tcPr>
          <w:p w14:paraId="336B273B"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Motivación, Retroalimentación, Independencia</w:t>
            </w:r>
          </w:p>
        </w:tc>
      </w:tr>
      <w:tr w:rsidR="00D930BF" w:rsidRPr="00F9353E" w14:paraId="53A8A2B8" w14:textId="77777777" w:rsidTr="00751405">
        <w:trPr>
          <w:trHeight w:val="2068"/>
        </w:trPr>
        <w:tc>
          <w:tcPr>
            <w:tcW w:w="1230" w:type="dxa"/>
            <w:vMerge/>
            <w:vAlign w:val="center"/>
            <w:hideMark/>
          </w:tcPr>
          <w:p w14:paraId="3F2B0F98"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p>
        </w:tc>
        <w:tc>
          <w:tcPr>
            <w:tcW w:w="1454" w:type="dxa"/>
            <w:shd w:val="clear" w:color="auto" w:fill="auto"/>
            <w:vAlign w:val="center"/>
            <w:hideMark/>
          </w:tcPr>
          <w:p w14:paraId="7201FE1A"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Corrección de contenido 1</w:t>
            </w:r>
          </w:p>
        </w:tc>
        <w:tc>
          <w:tcPr>
            <w:tcW w:w="2881" w:type="dxa"/>
            <w:shd w:val="clear" w:color="auto" w:fill="auto"/>
            <w:vAlign w:val="center"/>
            <w:hideMark/>
          </w:tcPr>
          <w:p w14:paraId="517E1B03"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En el capítulo 3: Slide que habla de Riesgo mecánico y menciona que uno de ellos es por manipular herramientas defectuosas, pero no solo es por las defectuosas, sino que también hay que tener en cuenta la manipulación, porque la manipulación de la herramienta como tal ya implica un riesgo. Por ejemplo, el carnicero puedo tener un buen cuchillo, pero un día lo toma mal del mango y se corta.</w:t>
            </w:r>
          </w:p>
        </w:tc>
        <w:tc>
          <w:tcPr>
            <w:tcW w:w="0" w:type="auto"/>
            <w:shd w:val="clear" w:color="auto" w:fill="auto"/>
            <w:vAlign w:val="center"/>
            <w:hideMark/>
          </w:tcPr>
          <w:p w14:paraId="6DDF2DC2"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Se sometió a revisión dada la interpretación que se le puede dar al concepto de "manipulación" de herramientas defectuosas.</w:t>
            </w:r>
          </w:p>
        </w:tc>
        <w:tc>
          <w:tcPr>
            <w:tcW w:w="0" w:type="auto"/>
            <w:shd w:val="clear" w:color="auto" w:fill="auto"/>
            <w:vAlign w:val="center"/>
            <w:hideMark/>
          </w:tcPr>
          <w:p w14:paraId="25EB6C5B"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Utilidad percibida, Narrativa atractiva</w:t>
            </w:r>
          </w:p>
        </w:tc>
      </w:tr>
      <w:tr w:rsidR="00D930BF" w:rsidRPr="00F9353E" w14:paraId="7507C8FC" w14:textId="77777777" w:rsidTr="00751405">
        <w:trPr>
          <w:trHeight w:val="991"/>
        </w:trPr>
        <w:tc>
          <w:tcPr>
            <w:tcW w:w="1230" w:type="dxa"/>
            <w:vMerge/>
            <w:vAlign w:val="center"/>
            <w:hideMark/>
          </w:tcPr>
          <w:p w14:paraId="07774783"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p>
        </w:tc>
        <w:tc>
          <w:tcPr>
            <w:tcW w:w="1454" w:type="dxa"/>
            <w:shd w:val="clear" w:color="auto" w:fill="auto"/>
            <w:vAlign w:val="center"/>
            <w:hideMark/>
          </w:tcPr>
          <w:p w14:paraId="05FF17D4"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Corrección de contenido 2</w:t>
            </w:r>
          </w:p>
        </w:tc>
        <w:tc>
          <w:tcPr>
            <w:tcW w:w="2881" w:type="dxa"/>
            <w:shd w:val="clear" w:color="auto" w:fill="auto"/>
            <w:vAlign w:val="center"/>
            <w:hideMark/>
          </w:tcPr>
          <w:p w14:paraId="2641CC13"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En el capítulo 3: Slide que habla de los ejemplos de control en la fuente. El piensa que más que un control en la fuente debe tomarse como un control en el medio.</w:t>
            </w:r>
          </w:p>
        </w:tc>
        <w:tc>
          <w:tcPr>
            <w:tcW w:w="0" w:type="auto"/>
            <w:shd w:val="clear" w:color="auto" w:fill="auto"/>
            <w:vAlign w:val="center"/>
            <w:hideMark/>
          </w:tcPr>
          <w:p w14:paraId="453EC740"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Se sometió a revisión porque hay una diferencia de opiniones frente al concepto de "control en la fuente" y "control en el medio".</w:t>
            </w:r>
          </w:p>
        </w:tc>
        <w:tc>
          <w:tcPr>
            <w:tcW w:w="0" w:type="auto"/>
            <w:shd w:val="clear" w:color="auto" w:fill="auto"/>
            <w:vAlign w:val="center"/>
            <w:hideMark/>
          </w:tcPr>
          <w:p w14:paraId="146EADA1"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Utilidad percibida, Narrativa atractiva</w:t>
            </w:r>
          </w:p>
        </w:tc>
      </w:tr>
      <w:tr w:rsidR="00D930BF" w:rsidRPr="00F9353E" w14:paraId="56BF5622" w14:textId="77777777" w:rsidTr="00751405">
        <w:trPr>
          <w:trHeight w:val="960"/>
        </w:trPr>
        <w:tc>
          <w:tcPr>
            <w:tcW w:w="1230" w:type="dxa"/>
            <w:vMerge/>
            <w:vAlign w:val="center"/>
            <w:hideMark/>
          </w:tcPr>
          <w:p w14:paraId="46B66109"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p>
        </w:tc>
        <w:tc>
          <w:tcPr>
            <w:tcW w:w="1454" w:type="dxa"/>
            <w:shd w:val="clear" w:color="auto" w:fill="auto"/>
            <w:vAlign w:val="center"/>
            <w:hideMark/>
          </w:tcPr>
          <w:p w14:paraId="5DB568EA"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Corrección de contenido 3</w:t>
            </w:r>
          </w:p>
        </w:tc>
        <w:tc>
          <w:tcPr>
            <w:tcW w:w="2881" w:type="dxa"/>
            <w:shd w:val="clear" w:color="auto" w:fill="auto"/>
            <w:vAlign w:val="center"/>
            <w:hideMark/>
          </w:tcPr>
          <w:p w14:paraId="1386C043"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La definición de accidente es buena, pero hay que revisarla. La de la herramienta no es tal cual la teoría la define. Considera que es un concepto más extenso. </w:t>
            </w:r>
          </w:p>
        </w:tc>
        <w:tc>
          <w:tcPr>
            <w:tcW w:w="0" w:type="auto"/>
            <w:shd w:val="clear" w:color="auto" w:fill="auto"/>
            <w:vAlign w:val="center"/>
            <w:hideMark/>
          </w:tcPr>
          <w:p w14:paraId="338A895B"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Se sometió a revisión porque al concepto de "accidente laboral" le falta mayor profundidad.</w:t>
            </w:r>
          </w:p>
        </w:tc>
        <w:tc>
          <w:tcPr>
            <w:tcW w:w="0" w:type="auto"/>
            <w:shd w:val="clear" w:color="auto" w:fill="auto"/>
            <w:vAlign w:val="center"/>
            <w:hideMark/>
          </w:tcPr>
          <w:p w14:paraId="64C438AE"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Utilidad percibida, Narrativa atractiva</w:t>
            </w:r>
          </w:p>
        </w:tc>
      </w:tr>
      <w:tr w:rsidR="00D930BF" w:rsidRPr="00F9353E" w14:paraId="66DA599A" w14:textId="77777777" w:rsidTr="00751405">
        <w:trPr>
          <w:trHeight w:val="558"/>
        </w:trPr>
        <w:tc>
          <w:tcPr>
            <w:tcW w:w="1230" w:type="dxa"/>
            <w:vMerge/>
            <w:vAlign w:val="center"/>
          </w:tcPr>
          <w:p w14:paraId="055837E9"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p>
        </w:tc>
        <w:tc>
          <w:tcPr>
            <w:tcW w:w="1454" w:type="dxa"/>
            <w:shd w:val="clear" w:color="auto" w:fill="auto"/>
            <w:vAlign w:val="center"/>
          </w:tcPr>
          <w:p w14:paraId="2465AC27"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Corrección de contenido 4</w:t>
            </w:r>
          </w:p>
        </w:tc>
        <w:tc>
          <w:tcPr>
            <w:tcW w:w="2881" w:type="dxa"/>
            <w:shd w:val="clear" w:color="auto" w:fill="auto"/>
            <w:vAlign w:val="center"/>
          </w:tcPr>
          <w:p w14:paraId="6B8A2B15"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Sugiere contrastar todas las definiciones con lo legal, sugiere no dejar vacíos, especialmente si se planea usar con trabajadores (BLINDAJE LEGAL).</w:t>
            </w:r>
          </w:p>
        </w:tc>
        <w:tc>
          <w:tcPr>
            <w:tcW w:w="0" w:type="auto"/>
            <w:shd w:val="clear" w:color="auto" w:fill="auto"/>
            <w:vAlign w:val="center"/>
          </w:tcPr>
          <w:p w14:paraId="2EA3B972"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El blindaje lega</w:t>
            </w:r>
            <w:r>
              <w:rPr>
                <w:rFonts w:eastAsia="Times New Roman" w:cs="Times New Roman"/>
                <w:color w:val="000000"/>
                <w:sz w:val="16"/>
                <w:szCs w:val="16"/>
                <w:lang w:val="es-CO" w:eastAsia="es-CO"/>
              </w:rPr>
              <w:t>l</w:t>
            </w:r>
            <w:r w:rsidRPr="00F9353E">
              <w:rPr>
                <w:rFonts w:eastAsia="Times New Roman" w:cs="Times New Roman"/>
                <w:color w:val="000000"/>
                <w:sz w:val="16"/>
                <w:szCs w:val="16"/>
                <w:lang w:val="es-CO" w:eastAsia="es-CO"/>
              </w:rPr>
              <w:t xml:space="preserve"> es fundamental, tanto para las definiciones como para hacer salvedad de la herramienta y su contenido.</w:t>
            </w:r>
          </w:p>
        </w:tc>
        <w:tc>
          <w:tcPr>
            <w:tcW w:w="0" w:type="auto"/>
            <w:shd w:val="clear" w:color="auto" w:fill="auto"/>
            <w:vAlign w:val="center"/>
          </w:tcPr>
          <w:p w14:paraId="5A0E04C8"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Utilidad percibida, Narrativa atractiva</w:t>
            </w:r>
          </w:p>
        </w:tc>
      </w:tr>
      <w:tr w:rsidR="00D930BF" w:rsidRPr="00F9353E" w14:paraId="7E11821B" w14:textId="77777777" w:rsidTr="00751405">
        <w:trPr>
          <w:trHeight w:val="973"/>
        </w:trPr>
        <w:tc>
          <w:tcPr>
            <w:tcW w:w="1230" w:type="dxa"/>
            <w:vMerge/>
            <w:vAlign w:val="center"/>
            <w:hideMark/>
          </w:tcPr>
          <w:p w14:paraId="61AC46D4"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p>
        </w:tc>
        <w:tc>
          <w:tcPr>
            <w:tcW w:w="1454" w:type="dxa"/>
            <w:shd w:val="clear" w:color="auto" w:fill="auto"/>
            <w:vAlign w:val="center"/>
            <w:hideMark/>
          </w:tcPr>
          <w:p w14:paraId="292623B6"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Versión Flash para utilizarla en clase. </w:t>
            </w:r>
          </w:p>
        </w:tc>
        <w:tc>
          <w:tcPr>
            <w:tcW w:w="2881" w:type="dxa"/>
            <w:shd w:val="clear" w:color="auto" w:fill="auto"/>
            <w:vAlign w:val="center"/>
            <w:hideMark/>
          </w:tcPr>
          <w:p w14:paraId="3734B7C9"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El profesor sugiere una versión Flash para utilizarla en clase. Sería una actividad didáctica en clase.</w:t>
            </w:r>
          </w:p>
        </w:tc>
        <w:tc>
          <w:tcPr>
            <w:tcW w:w="0" w:type="auto"/>
            <w:shd w:val="clear" w:color="auto" w:fill="auto"/>
            <w:vAlign w:val="center"/>
            <w:hideMark/>
          </w:tcPr>
          <w:p w14:paraId="7C7B7C79"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Consistiría en crear otra herramienta prácticamente y está fuera del presupuesto.</w:t>
            </w:r>
          </w:p>
        </w:tc>
        <w:tc>
          <w:tcPr>
            <w:tcW w:w="0" w:type="auto"/>
            <w:shd w:val="clear" w:color="auto" w:fill="auto"/>
            <w:vAlign w:val="center"/>
            <w:hideMark/>
          </w:tcPr>
          <w:p w14:paraId="286321B9"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Interfaz amigable, Diseño y disposición de contenidos, Facilidad de uso y Utilidad percibida</w:t>
            </w:r>
          </w:p>
        </w:tc>
      </w:tr>
      <w:tr w:rsidR="00D930BF" w:rsidRPr="00F9353E" w14:paraId="21D18609" w14:textId="77777777" w:rsidTr="00751405">
        <w:trPr>
          <w:trHeight w:val="973"/>
        </w:trPr>
        <w:tc>
          <w:tcPr>
            <w:tcW w:w="1230" w:type="dxa"/>
            <w:shd w:val="clear" w:color="auto" w:fill="auto"/>
            <w:noWrap/>
            <w:vAlign w:val="center"/>
            <w:hideMark/>
          </w:tcPr>
          <w:p w14:paraId="00B94617"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r w:rsidRPr="00F9353E">
              <w:rPr>
                <w:rFonts w:eastAsia="Times New Roman" w:cs="Times New Roman"/>
                <w:b/>
                <w:bCs/>
                <w:color w:val="000000"/>
                <w:sz w:val="16"/>
                <w:szCs w:val="16"/>
                <w:lang w:val="es-CO" w:eastAsia="es-CO"/>
              </w:rPr>
              <w:t>Cambios descartados</w:t>
            </w:r>
          </w:p>
        </w:tc>
        <w:tc>
          <w:tcPr>
            <w:tcW w:w="1454" w:type="dxa"/>
            <w:shd w:val="clear" w:color="auto" w:fill="auto"/>
            <w:vAlign w:val="center"/>
            <w:hideMark/>
          </w:tcPr>
          <w:p w14:paraId="5EC292A1"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El contenido del capítulo 3 es muy extenso</w:t>
            </w:r>
          </w:p>
        </w:tc>
        <w:tc>
          <w:tcPr>
            <w:tcW w:w="2881" w:type="dxa"/>
            <w:shd w:val="clear" w:color="auto" w:fill="auto"/>
            <w:vAlign w:val="center"/>
            <w:hideMark/>
          </w:tcPr>
          <w:p w14:paraId="6980261E"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Algunos estudiantes y el profesor manifestaron que el contenido del capítulo 3 era muy extenso y que podía generar saturación de información.</w:t>
            </w:r>
          </w:p>
        </w:tc>
        <w:tc>
          <w:tcPr>
            <w:tcW w:w="0" w:type="auto"/>
            <w:shd w:val="clear" w:color="auto" w:fill="auto"/>
            <w:vAlign w:val="center"/>
            <w:hideMark/>
          </w:tcPr>
          <w:p w14:paraId="74434D53"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Puede ser algo muy subjetivo y no se considera en problema de programación.</w:t>
            </w:r>
          </w:p>
        </w:tc>
        <w:tc>
          <w:tcPr>
            <w:tcW w:w="0" w:type="auto"/>
            <w:shd w:val="clear" w:color="auto" w:fill="auto"/>
            <w:vAlign w:val="center"/>
            <w:hideMark/>
          </w:tcPr>
          <w:p w14:paraId="54FA4FBA"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 Diseño y disposición de contenidos, Facilidad de uso y Narrativa atractiva</w:t>
            </w:r>
          </w:p>
        </w:tc>
      </w:tr>
      <w:tr w:rsidR="00D930BF" w:rsidRPr="00F9353E" w14:paraId="10EDF39B" w14:textId="77777777" w:rsidTr="00751405">
        <w:trPr>
          <w:trHeight w:val="718"/>
        </w:trPr>
        <w:tc>
          <w:tcPr>
            <w:tcW w:w="1230" w:type="dxa"/>
            <w:vMerge w:val="restart"/>
            <w:tcBorders>
              <w:bottom w:val="single" w:sz="4" w:space="0" w:color="auto"/>
            </w:tcBorders>
            <w:shd w:val="clear" w:color="auto" w:fill="auto"/>
            <w:vAlign w:val="center"/>
            <w:hideMark/>
          </w:tcPr>
          <w:p w14:paraId="7E0FDD95"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r w:rsidRPr="00F9353E">
              <w:rPr>
                <w:rFonts w:eastAsia="Times New Roman" w:cs="Times New Roman"/>
                <w:b/>
                <w:bCs/>
                <w:color w:val="000000"/>
                <w:sz w:val="16"/>
                <w:szCs w:val="16"/>
                <w:lang w:val="es-CO" w:eastAsia="es-CO"/>
              </w:rPr>
              <w:t>Medidas de mitigación que no tienen que ver con la programación de la herramienta</w:t>
            </w:r>
          </w:p>
        </w:tc>
        <w:tc>
          <w:tcPr>
            <w:tcW w:w="1454" w:type="dxa"/>
            <w:shd w:val="clear" w:color="auto" w:fill="auto"/>
            <w:vAlign w:val="center"/>
            <w:hideMark/>
          </w:tcPr>
          <w:p w14:paraId="41B4A6EC"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Pregunta # 15 de la entrevista no es clara.</w:t>
            </w:r>
          </w:p>
        </w:tc>
        <w:tc>
          <w:tcPr>
            <w:tcW w:w="2881" w:type="dxa"/>
            <w:shd w:val="clear" w:color="auto" w:fill="auto"/>
            <w:vAlign w:val="center"/>
            <w:hideMark/>
          </w:tcPr>
          <w:p w14:paraId="4A748712"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La pregunta está relacionada con el componente inclusivo, pero está mal formulada.</w:t>
            </w:r>
          </w:p>
        </w:tc>
        <w:tc>
          <w:tcPr>
            <w:tcW w:w="0" w:type="auto"/>
            <w:shd w:val="clear" w:color="auto" w:fill="auto"/>
            <w:vAlign w:val="center"/>
            <w:hideMark/>
          </w:tcPr>
          <w:p w14:paraId="736EA77C"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Se puede reformular la pregunta.</w:t>
            </w:r>
          </w:p>
        </w:tc>
        <w:tc>
          <w:tcPr>
            <w:tcW w:w="0" w:type="auto"/>
            <w:shd w:val="clear" w:color="auto" w:fill="auto"/>
            <w:vAlign w:val="center"/>
            <w:hideMark/>
          </w:tcPr>
          <w:p w14:paraId="771C3A1A"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 Diseño y disposición de contenidos, Inclusión y Narrativa atractiva</w:t>
            </w:r>
          </w:p>
        </w:tc>
      </w:tr>
      <w:tr w:rsidR="00D930BF" w:rsidRPr="00F9353E" w14:paraId="6F8AD205" w14:textId="77777777" w:rsidTr="00751405">
        <w:trPr>
          <w:trHeight w:val="795"/>
        </w:trPr>
        <w:tc>
          <w:tcPr>
            <w:tcW w:w="1230" w:type="dxa"/>
            <w:vMerge/>
            <w:tcBorders>
              <w:bottom w:val="single" w:sz="4" w:space="0" w:color="auto"/>
            </w:tcBorders>
            <w:vAlign w:val="center"/>
            <w:hideMark/>
          </w:tcPr>
          <w:p w14:paraId="13A7340A"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p>
        </w:tc>
        <w:tc>
          <w:tcPr>
            <w:tcW w:w="1454" w:type="dxa"/>
            <w:shd w:val="clear" w:color="auto" w:fill="auto"/>
            <w:vAlign w:val="center"/>
            <w:hideMark/>
          </w:tcPr>
          <w:p w14:paraId="108415FD"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Nivel de dificultad del contenido.</w:t>
            </w:r>
          </w:p>
        </w:tc>
        <w:tc>
          <w:tcPr>
            <w:tcW w:w="2881" w:type="dxa"/>
            <w:shd w:val="clear" w:color="auto" w:fill="auto"/>
            <w:vAlign w:val="center"/>
            <w:hideMark/>
          </w:tcPr>
          <w:p w14:paraId="364C40C9"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Mas del 80% de los estudiantes y el profesor comentaron que el contenido era sencillo y lo consideraban introductorio, como para personas que no pertenecen a la academia.</w:t>
            </w:r>
          </w:p>
        </w:tc>
        <w:tc>
          <w:tcPr>
            <w:tcW w:w="0" w:type="auto"/>
            <w:shd w:val="clear" w:color="auto" w:fill="auto"/>
            <w:vAlign w:val="center"/>
            <w:hideMark/>
          </w:tcPr>
          <w:p w14:paraId="265E2980"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Los usuarios consideran que el contenido es introductorio, ideal para trabajadores o personas que no están directamente relacionadas con la formación profesional en SST. EL profesor recomendó profundizar más en el contenido si se planea usar en los estudiantes de la UIS.</w:t>
            </w:r>
          </w:p>
        </w:tc>
        <w:tc>
          <w:tcPr>
            <w:tcW w:w="0" w:type="auto"/>
            <w:shd w:val="clear" w:color="auto" w:fill="auto"/>
            <w:vAlign w:val="center"/>
            <w:hideMark/>
          </w:tcPr>
          <w:p w14:paraId="056ADC1C"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 Diseño y disposición de contenidos, Narrativa atractiva y Utilidad percibida</w:t>
            </w:r>
          </w:p>
        </w:tc>
      </w:tr>
      <w:tr w:rsidR="00D930BF" w:rsidRPr="00F9353E" w14:paraId="7BFEF998" w14:textId="77777777" w:rsidTr="00751405">
        <w:trPr>
          <w:trHeight w:val="1830"/>
        </w:trPr>
        <w:tc>
          <w:tcPr>
            <w:tcW w:w="1230" w:type="dxa"/>
            <w:vMerge/>
            <w:tcBorders>
              <w:bottom w:val="single" w:sz="4" w:space="0" w:color="auto"/>
            </w:tcBorders>
            <w:vAlign w:val="center"/>
            <w:hideMark/>
          </w:tcPr>
          <w:p w14:paraId="3BA7FE55"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p>
        </w:tc>
        <w:tc>
          <w:tcPr>
            <w:tcW w:w="1454" w:type="dxa"/>
            <w:shd w:val="clear" w:color="auto" w:fill="auto"/>
            <w:vAlign w:val="center"/>
            <w:hideMark/>
          </w:tcPr>
          <w:p w14:paraId="36D4C7BD"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Vinculación de nota a la herramienta</w:t>
            </w:r>
          </w:p>
        </w:tc>
        <w:tc>
          <w:tcPr>
            <w:tcW w:w="2881" w:type="dxa"/>
            <w:shd w:val="clear" w:color="auto" w:fill="auto"/>
            <w:vAlign w:val="center"/>
            <w:hideMark/>
          </w:tcPr>
          <w:p w14:paraId="1BFF74BB"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En su experiencia pedagógica el profesor comentó que vincular la actividad con nota es la única manera de garantizar que el estudiante realmente lea el contenido y aprenda.</w:t>
            </w:r>
          </w:p>
        </w:tc>
        <w:tc>
          <w:tcPr>
            <w:tcW w:w="0" w:type="auto"/>
            <w:shd w:val="clear" w:color="auto" w:fill="auto"/>
            <w:vAlign w:val="center"/>
            <w:hideMark/>
          </w:tcPr>
          <w:p w14:paraId="322DDFF5"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La nota es una motivación para el estudiante, pues debe esforzarse en aprender para poder aprobar.</w:t>
            </w:r>
          </w:p>
        </w:tc>
        <w:tc>
          <w:tcPr>
            <w:tcW w:w="0" w:type="auto"/>
            <w:shd w:val="clear" w:color="auto" w:fill="auto"/>
            <w:vAlign w:val="center"/>
            <w:hideMark/>
          </w:tcPr>
          <w:p w14:paraId="24F5926C"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 Diseño y disposición de contenidos, Narrativa atractiva y Utilidad percibida</w:t>
            </w:r>
          </w:p>
        </w:tc>
      </w:tr>
      <w:tr w:rsidR="00D930BF" w:rsidRPr="00F9353E" w14:paraId="2D191F87" w14:textId="77777777" w:rsidTr="00751405">
        <w:trPr>
          <w:trHeight w:val="1106"/>
        </w:trPr>
        <w:tc>
          <w:tcPr>
            <w:tcW w:w="1230" w:type="dxa"/>
            <w:vMerge/>
            <w:tcBorders>
              <w:bottom w:val="single" w:sz="4" w:space="0" w:color="auto"/>
            </w:tcBorders>
            <w:vAlign w:val="center"/>
            <w:hideMark/>
          </w:tcPr>
          <w:p w14:paraId="7FBA3D8B" w14:textId="77777777" w:rsidR="00D930BF" w:rsidRPr="00F9353E" w:rsidRDefault="00D930BF" w:rsidP="00751405">
            <w:pPr>
              <w:spacing w:before="0" w:after="0" w:line="240" w:lineRule="auto"/>
              <w:ind w:firstLine="0"/>
              <w:jc w:val="left"/>
              <w:rPr>
                <w:rFonts w:eastAsia="Times New Roman" w:cs="Times New Roman"/>
                <w:b/>
                <w:bCs/>
                <w:color w:val="000000"/>
                <w:sz w:val="16"/>
                <w:szCs w:val="16"/>
                <w:lang w:val="es-CO" w:eastAsia="es-CO"/>
              </w:rPr>
            </w:pPr>
          </w:p>
        </w:tc>
        <w:tc>
          <w:tcPr>
            <w:tcW w:w="1454" w:type="dxa"/>
            <w:tcBorders>
              <w:bottom w:val="single" w:sz="4" w:space="0" w:color="auto"/>
            </w:tcBorders>
            <w:shd w:val="clear" w:color="auto" w:fill="auto"/>
            <w:vAlign w:val="center"/>
            <w:hideMark/>
          </w:tcPr>
          <w:p w14:paraId="26D7EB1E"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Preguntas de la entrevista sobre la interacción social </w:t>
            </w:r>
          </w:p>
        </w:tc>
        <w:tc>
          <w:tcPr>
            <w:tcW w:w="2881" w:type="dxa"/>
            <w:tcBorders>
              <w:bottom w:val="single" w:sz="4" w:space="0" w:color="auto"/>
            </w:tcBorders>
            <w:shd w:val="clear" w:color="auto" w:fill="auto"/>
            <w:vAlign w:val="center"/>
            <w:hideMark/>
          </w:tcPr>
          <w:p w14:paraId="4463ADD9"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Mas del 50% preguntaron si la herramienta tenía otra forma de uso, pues veían la herramienta como una metodología individual de aprendizaje.</w:t>
            </w:r>
          </w:p>
        </w:tc>
        <w:tc>
          <w:tcPr>
            <w:tcW w:w="0" w:type="auto"/>
            <w:tcBorders>
              <w:bottom w:val="single" w:sz="4" w:space="0" w:color="auto"/>
            </w:tcBorders>
            <w:shd w:val="clear" w:color="auto" w:fill="auto"/>
            <w:vAlign w:val="center"/>
            <w:hideMark/>
          </w:tcPr>
          <w:p w14:paraId="3F113067"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La validación se realizó de manera individual es por esto </w:t>
            </w:r>
            <w:proofErr w:type="gramStart"/>
            <w:r w:rsidRPr="00F9353E">
              <w:rPr>
                <w:rFonts w:eastAsia="Times New Roman" w:cs="Times New Roman"/>
                <w:color w:val="000000"/>
                <w:sz w:val="16"/>
                <w:szCs w:val="16"/>
                <w:lang w:val="es-CO" w:eastAsia="es-CO"/>
              </w:rPr>
              <w:t>que</w:t>
            </w:r>
            <w:proofErr w:type="gramEnd"/>
            <w:r w:rsidRPr="00F9353E">
              <w:rPr>
                <w:rFonts w:eastAsia="Times New Roman" w:cs="Times New Roman"/>
                <w:color w:val="000000"/>
                <w:sz w:val="16"/>
                <w:szCs w:val="16"/>
                <w:lang w:val="es-CO" w:eastAsia="es-CO"/>
              </w:rPr>
              <w:t xml:space="preserve"> no tuvieron la oportunidad de interactuar con otros usuarios durante el uso de la herramienta.</w:t>
            </w:r>
          </w:p>
        </w:tc>
        <w:tc>
          <w:tcPr>
            <w:tcW w:w="0" w:type="auto"/>
            <w:tcBorders>
              <w:bottom w:val="single" w:sz="4" w:space="0" w:color="auto"/>
            </w:tcBorders>
            <w:shd w:val="clear" w:color="auto" w:fill="auto"/>
            <w:vAlign w:val="center"/>
            <w:hideMark/>
          </w:tcPr>
          <w:p w14:paraId="117ABFB4" w14:textId="77777777" w:rsidR="00D930BF" w:rsidRPr="00F9353E" w:rsidRDefault="00D930BF" w:rsidP="00751405">
            <w:pPr>
              <w:spacing w:before="0" w:after="0" w:line="240" w:lineRule="auto"/>
              <w:ind w:firstLine="0"/>
              <w:jc w:val="left"/>
              <w:rPr>
                <w:rFonts w:eastAsia="Times New Roman" w:cs="Times New Roman"/>
                <w:color w:val="000000"/>
                <w:sz w:val="16"/>
                <w:szCs w:val="16"/>
                <w:lang w:val="es-CO" w:eastAsia="es-CO"/>
              </w:rPr>
            </w:pPr>
            <w:r w:rsidRPr="00F9353E">
              <w:rPr>
                <w:rFonts w:eastAsia="Times New Roman" w:cs="Times New Roman"/>
                <w:color w:val="000000"/>
                <w:sz w:val="16"/>
                <w:szCs w:val="16"/>
                <w:lang w:val="es-CO" w:eastAsia="es-CO"/>
              </w:rPr>
              <w:t xml:space="preserve"> Diseño y disposición de contenidos, Interacción social y Narrativa atractiva </w:t>
            </w:r>
          </w:p>
        </w:tc>
      </w:tr>
    </w:tbl>
    <w:p w14:paraId="37DB4E4B" w14:textId="77777777" w:rsidR="00D930BF" w:rsidRPr="00F9353E" w:rsidRDefault="00D930BF" w:rsidP="00D930BF">
      <w:pPr>
        <w:spacing w:before="0" w:after="0" w:line="240" w:lineRule="auto"/>
        <w:ind w:firstLine="0"/>
        <w:rPr>
          <w:lang w:val="es-CO"/>
        </w:rPr>
      </w:pPr>
    </w:p>
    <w:p w14:paraId="4F413B27" w14:textId="77777777" w:rsidR="007F61EA" w:rsidRPr="00D930BF" w:rsidRDefault="007F61EA">
      <w:pPr>
        <w:rPr>
          <w:lang w:val="es-CO"/>
        </w:rPr>
      </w:pPr>
    </w:p>
    <w:sectPr w:rsidR="007F61EA" w:rsidRPr="00D930B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0BF"/>
    <w:rsid w:val="00644FB9"/>
    <w:rsid w:val="007F61EA"/>
    <w:rsid w:val="00D930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16A81"/>
  <w15:chartTrackingRefBased/>
  <w15:docId w15:val="{8BCFA2D3-67F3-483D-AF9F-99B755BA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0BF"/>
    <w:pPr>
      <w:spacing w:before="240" w:after="240" w:line="480" w:lineRule="auto"/>
      <w:ind w:firstLine="709"/>
      <w:jc w:val="both"/>
    </w:pPr>
    <w:rPr>
      <w:rFonts w:ascii="Times New Roman" w:hAnsi="Times New Roman"/>
      <w:kern w:val="0"/>
      <w:szCs w:val="22"/>
      <w:lang w:val="es-ES"/>
      <w14:ligatures w14:val="none"/>
    </w:rPr>
  </w:style>
  <w:style w:type="paragraph" w:styleId="Ttulo1">
    <w:name w:val="heading 1"/>
    <w:basedOn w:val="Normal"/>
    <w:next w:val="Normal"/>
    <w:link w:val="Ttulo1Car"/>
    <w:uiPriority w:val="9"/>
    <w:qFormat/>
    <w:rsid w:val="00D930BF"/>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val="es-CO"/>
      <w14:ligatures w14:val="standardContextual"/>
    </w:rPr>
  </w:style>
  <w:style w:type="paragraph" w:styleId="Ttulo2">
    <w:name w:val="heading 2"/>
    <w:basedOn w:val="Normal"/>
    <w:next w:val="Normal"/>
    <w:link w:val="Ttulo2Car"/>
    <w:uiPriority w:val="9"/>
    <w:semiHidden/>
    <w:unhideWhenUsed/>
    <w:qFormat/>
    <w:rsid w:val="00D930BF"/>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val="es-CO"/>
      <w14:ligatures w14:val="standardContextual"/>
    </w:rPr>
  </w:style>
  <w:style w:type="paragraph" w:styleId="Ttulo3">
    <w:name w:val="heading 3"/>
    <w:basedOn w:val="Normal"/>
    <w:next w:val="Normal"/>
    <w:link w:val="Ttulo3Car"/>
    <w:uiPriority w:val="9"/>
    <w:semiHidden/>
    <w:unhideWhenUsed/>
    <w:qFormat/>
    <w:rsid w:val="00D930BF"/>
    <w:pPr>
      <w:keepNext/>
      <w:keepLines/>
      <w:spacing w:before="160" w:after="80" w:line="278" w:lineRule="auto"/>
      <w:ind w:firstLine="0"/>
      <w:jc w:val="left"/>
      <w:outlineLvl w:val="2"/>
    </w:pPr>
    <w:rPr>
      <w:rFonts w:asciiTheme="minorHAnsi" w:eastAsiaTheme="majorEastAsia" w:hAnsiTheme="minorHAnsi" w:cstheme="majorBidi"/>
      <w:color w:val="0F4761" w:themeColor="accent1" w:themeShade="BF"/>
      <w:kern w:val="2"/>
      <w:sz w:val="28"/>
      <w:szCs w:val="28"/>
      <w:lang w:val="es-CO"/>
      <w14:ligatures w14:val="standardContextual"/>
    </w:rPr>
  </w:style>
  <w:style w:type="paragraph" w:styleId="Ttulo4">
    <w:name w:val="heading 4"/>
    <w:basedOn w:val="Normal"/>
    <w:next w:val="Normal"/>
    <w:link w:val="Ttulo4Car"/>
    <w:uiPriority w:val="9"/>
    <w:semiHidden/>
    <w:unhideWhenUsed/>
    <w:qFormat/>
    <w:rsid w:val="00D930BF"/>
    <w:pPr>
      <w:keepNext/>
      <w:keepLines/>
      <w:spacing w:before="80" w:after="40" w:line="278" w:lineRule="auto"/>
      <w:ind w:firstLine="0"/>
      <w:jc w:val="left"/>
      <w:outlineLvl w:val="3"/>
    </w:pPr>
    <w:rPr>
      <w:rFonts w:asciiTheme="minorHAnsi" w:eastAsiaTheme="majorEastAsia" w:hAnsiTheme="minorHAnsi" w:cstheme="majorBidi"/>
      <w:i/>
      <w:iCs/>
      <w:color w:val="0F4761" w:themeColor="accent1" w:themeShade="BF"/>
      <w:kern w:val="2"/>
      <w:szCs w:val="24"/>
      <w:lang w:val="es-CO"/>
      <w14:ligatures w14:val="standardContextual"/>
    </w:rPr>
  </w:style>
  <w:style w:type="paragraph" w:styleId="Ttulo5">
    <w:name w:val="heading 5"/>
    <w:basedOn w:val="Normal"/>
    <w:next w:val="Normal"/>
    <w:link w:val="Ttulo5Car"/>
    <w:uiPriority w:val="9"/>
    <w:semiHidden/>
    <w:unhideWhenUsed/>
    <w:qFormat/>
    <w:rsid w:val="00D930BF"/>
    <w:pPr>
      <w:keepNext/>
      <w:keepLines/>
      <w:spacing w:before="80" w:after="40" w:line="278" w:lineRule="auto"/>
      <w:ind w:firstLine="0"/>
      <w:jc w:val="left"/>
      <w:outlineLvl w:val="4"/>
    </w:pPr>
    <w:rPr>
      <w:rFonts w:asciiTheme="minorHAnsi" w:eastAsiaTheme="majorEastAsia" w:hAnsiTheme="minorHAnsi" w:cstheme="majorBidi"/>
      <w:color w:val="0F4761" w:themeColor="accent1" w:themeShade="BF"/>
      <w:kern w:val="2"/>
      <w:szCs w:val="24"/>
      <w:lang w:val="es-CO"/>
      <w14:ligatures w14:val="standardContextual"/>
    </w:rPr>
  </w:style>
  <w:style w:type="paragraph" w:styleId="Ttulo6">
    <w:name w:val="heading 6"/>
    <w:basedOn w:val="Normal"/>
    <w:next w:val="Normal"/>
    <w:link w:val="Ttulo6Car"/>
    <w:uiPriority w:val="9"/>
    <w:semiHidden/>
    <w:unhideWhenUsed/>
    <w:qFormat/>
    <w:rsid w:val="00D930BF"/>
    <w:pPr>
      <w:keepNext/>
      <w:keepLines/>
      <w:spacing w:before="40" w:after="0" w:line="278" w:lineRule="auto"/>
      <w:ind w:firstLine="0"/>
      <w:jc w:val="left"/>
      <w:outlineLvl w:val="5"/>
    </w:pPr>
    <w:rPr>
      <w:rFonts w:asciiTheme="minorHAnsi" w:eastAsiaTheme="majorEastAsia" w:hAnsiTheme="minorHAnsi" w:cstheme="majorBidi"/>
      <w:i/>
      <w:iCs/>
      <w:color w:val="595959" w:themeColor="text1" w:themeTint="A6"/>
      <w:kern w:val="2"/>
      <w:szCs w:val="24"/>
      <w:lang w:val="es-CO"/>
      <w14:ligatures w14:val="standardContextual"/>
    </w:rPr>
  </w:style>
  <w:style w:type="paragraph" w:styleId="Ttulo7">
    <w:name w:val="heading 7"/>
    <w:basedOn w:val="Normal"/>
    <w:next w:val="Normal"/>
    <w:link w:val="Ttulo7Car"/>
    <w:uiPriority w:val="9"/>
    <w:semiHidden/>
    <w:unhideWhenUsed/>
    <w:qFormat/>
    <w:rsid w:val="00D930BF"/>
    <w:pPr>
      <w:keepNext/>
      <w:keepLines/>
      <w:spacing w:before="40" w:after="0" w:line="278" w:lineRule="auto"/>
      <w:ind w:firstLine="0"/>
      <w:jc w:val="left"/>
      <w:outlineLvl w:val="6"/>
    </w:pPr>
    <w:rPr>
      <w:rFonts w:asciiTheme="minorHAnsi" w:eastAsiaTheme="majorEastAsia" w:hAnsiTheme="minorHAnsi" w:cstheme="majorBidi"/>
      <w:color w:val="595959" w:themeColor="text1" w:themeTint="A6"/>
      <w:kern w:val="2"/>
      <w:szCs w:val="24"/>
      <w:lang w:val="es-CO"/>
      <w14:ligatures w14:val="standardContextual"/>
    </w:rPr>
  </w:style>
  <w:style w:type="paragraph" w:styleId="Ttulo8">
    <w:name w:val="heading 8"/>
    <w:basedOn w:val="Normal"/>
    <w:next w:val="Normal"/>
    <w:link w:val="Ttulo8Car"/>
    <w:uiPriority w:val="9"/>
    <w:semiHidden/>
    <w:unhideWhenUsed/>
    <w:qFormat/>
    <w:rsid w:val="00D930BF"/>
    <w:pPr>
      <w:keepNext/>
      <w:keepLines/>
      <w:spacing w:before="0" w:after="0" w:line="278" w:lineRule="auto"/>
      <w:ind w:firstLine="0"/>
      <w:jc w:val="left"/>
      <w:outlineLvl w:val="7"/>
    </w:pPr>
    <w:rPr>
      <w:rFonts w:asciiTheme="minorHAnsi" w:eastAsiaTheme="majorEastAsia" w:hAnsiTheme="minorHAnsi" w:cstheme="majorBidi"/>
      <w:i/>
      <w:iCs/>
      <w:color w:val="272727" w:themeColor="text1" w:themeTint="D8"/>
      <w:kern w:val="2"/>
      <w:szCs w:val="24"/>
      <w:lang w:val="es-CO"/>
      <w14:ligatures w14:val="standardContextual"/>
    </w:rPr>
  </w:style>
  <w:style w:type="paragraph" w:styleId="Ttulo9">
    <w:name w:val="heading 9"/>
    <w:basedOn w:val="Normal"/>
    <w:next w:val="Normal"/>
    <w:link w:val="Ttulo9Car"/>
    <w:uiPriority w:val="9"/>
    <w:semiHidden/>
    <w:unhideWhenUsed/>
    <w:qFormat/>
    <w:rsid w:val="00D930BF"/>
    <w:pPr>
      <w:keepNext/>
      <w:keepLines/>
      <w:spacing w:before="0" w:after="0" w:line="278" w:lineRule="auto"/>
      <w:ind w:firstLine="0"/>
      <w:jc w:val="left"/>
      <w:outlineLvl w:val="8"/>
    </w:pPr>
    <w:rPr>
      <w:rFonts w:asciiTheme="minorHAnsi" w:eastAsiaTheme="majorEastAsia" w:hAnsiTheme="minorHAnsi" w:cstheme="majorBidi"/>
      <w:color w:val="272727" w:themeColor="text1" w:themeTint="D8"/>
      <w:kern w:val="2"/>
      <w:szCs w:val="24"/>
      <w:lang w:val="es-CO"/>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930BF"/>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930BF"/>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930BF"/>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930BF"/>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930BF"/>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930BF"/>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930BF"/>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930BF"/>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930BF"/>
    <w:rPr>
      <w:rFonts w:eastAsiaTheme="majorEastAsia" w:cstheme="majorBidi"/>
      <w:color w:val="272727" w:themeColor="text1" w:themeTint="D8"/>
    </w:rPr>
  </w:style>
  <w:style w:type="paragraph" w:styleId="Ttulo">
    <w:name w:val="Title"/>
    <w:basedOn w:val="Normal"/>
    <w:next w:val="Normal"/>
    <w:link w:val="TtuloCar"/>
    <w:uiPriority w:val="10"/>
    <w:qFormat/>
    <w:rsid w:val="00D930BF"/>
    <w:pPr>
      <w:spacing w:before="0" w:after="80" w:line="240" w:lineRule="auto"/>
      <w:ind w:firstLine="0"/>
      <w:contextualSpacing/>
      <w:jc w:val="left"/>
    </w:pPr>
    <w:rPr>
      <w:rFonts w:asciiTheme="majorHAnsi" w:eastAsiaTheme="majorEastAsia" w:hAnsiTheme="majorHAnsi" w:cstheme="majorBidi"/>
      <w:spacing w:val="-10"/>
      <w:kern w:val="28"/>
      <w:sz w:val="56"/>
      <w:szCs w:val="56"/>
      <w:lang w:val="es-CO"/>
      <w14:ligatures w14:val="standardContextual"/>
    </w:rPr>
  </w:style>
  <w:style w:type="character" w:customStyle="1" w:styleId="TtuloCar">
    <w:name w:val="Título Car"/>
    <w:basedOn w:val="Fuentedeprrafopredeter"/>
    <w:link w:val="Ttulo"/>
    <w:uiPriority w:val="10"/>
    <w:rsid w:val="00D930BF"/>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930BF"/>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lang w:val="es-CO"/>
      <w14:ligatures w14:val="standardContextual"/>
    </w:rPr>
  </w:style>
  <w:style w:type="character" w:customStyle="1" w:styleId="SubttuloCar">
    <w:name w:val="Subtítulo Car"/>
    <w:basedOn w:val="Fuentedeprrafopredeter"/>
    <w:link w:val="Subttulo"/>
    <w:uiPriority w:val="11"/>
    <w:rsid w:val="00D930BF"/>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930BF"/>
    <w:pPr>
      <w:spacing w:before="160" w:after="160" w:line="278" w:lineRule="auto"/>
      <w:ind w:firstLine="0"/>
      <w:jc w:val="center"/>
    </w:pPr>
    <w:rPr>
      <w:rFonts w:asciiTheme="minorHAnsi" w:hAnsiTheme="minorHAnsi"/>
      <w:i/>
      <w:iCs/>
      <w:color w:val="404040" w:themeColor="text1" w:themeTint="BF"/>
      <w:kern w:val="2"/>
      <w:szCs w:val="24"/>
      <w:lang w:val="es-CO"/>
      <w14:ligatures w14:val="standardContextual"/>
    </w:rPr>
  </w:style>
  <w:style w:type="character" w:customStyle="1" w:styleId="CitaCar">
    <w:name w:val="Cita Car"/>
    <w:basedOn w:val="Fuentedeprrafopredeter"/>
    <w:link w:val="Cita"/>
    <w:uiPriority w:val="29"/>
    <w:rsid w:val="00D930BF"/>
    <w:rPr>
      <w:i/>
      <w:iCs/>
      <w:color w:val="404040" w:themeColor="text1" w:themeTint="BF"/>
    </w:rPr>
  </w:style>
  <w:style w:type="paragraph" w:styleId="Prrafodelista">
    <w:name w:val="List Paragraph"/>
    <w:basedOn w:val="Normal"/>
    <w:uiPriority w:val="34"/>
    <w:qFormat/>
    <w:rsid w:val="00D930BF"/>
    <w:pPr>
      <w:spacing w:before="0" w:after="160" w:line="278" w:lineRule="auto"/>
      <w:ind w:left="720" w:firstLine="0"/>
      <w:contextualSpacing/>
      <w:jc w:val="left"/>
    </w:pPr>
    <w:rPr>
      <w:rFonts w:asciiTheme="minorHAnsi" w:hAnsiTheme="minorHAnsi"/>
      <w:kern w:val="2"/>
      <w:szCs w:val="24"/>
      <w:lang w:val="es-CO"/>
      <w14:ligatures w14:val="standardContextual"/>
    </w:rPr>
  </w:style>
  <w:style w:type="character" w:styleId="nfasisintenso">
    <w:name w:val="Intense Emphasis"/>
    <w:basedOn w:val="Fuentedeprrafopredeter"/>
    <w:uiPriority w:val="21"/>
    <w:qFormat/>
    <w:rsid w:val="00D930BF"/>
    <w:rPr>
      <w:i/>
      <w:iCs/>
      <w:color w:val="0F4761" w:themeColor="accent1" w:themeShade="BF"/>
    </w:rPr>
  </w:style>
  <w:style w:type="paragraph" w:styleId="Citadestacada">
    <w:name w:val="Intense Quote"/>
    <w:basedOn w:val="Normal"/>
    <w:next w:val="Normal"/>
    <w:link w:val="CitadestacadaCar"/>
    <w:uiPriority w:val="30"/>
    <w:qFormat/>
    <w:rsid w:val="00D930BF"/>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asciiTheme="minorHAnsi" w:hAnsiTheme="minorHAnsi"/>
      <w:i/>
      <w:iCs/>
      <w:color w:val="0F4761" w:themeColor="accent1" w:themeShade="BF"/>
      <w:kern w:val="2"/>
      <w:szCs w:val="24"/>
      <w:lang w:val="es-CO"/>
      <w14:ligatures w14:val="standardContextual"/>
    </w:rPr>
  </w:style>
  <w:style w:type="character" w:customStyle="1" w:styleId="CitadestacadaCar">
    <w:name w:val="Cita destacada Car"/>
    <w:basedOn w:val="Fuentedeprrafopredeter"/>
    <w:link w:val="Citadestacada"/>
    <w:uiPriority w:val="30"/>
    <w:rsid w:val="00D930BF"/>
    <w:rPr>
      <w:i/>
      <w:iCs/>
      <w:color w:val="0F4761" w:themeColor="accent1" w:themeShade="BF"/>
    </w:rPr>
  </w:style>
  <w:style w:type="character" w:styleId="Referenciaintensa">
    <w:name w:val="Intense Reference"/>
    <w:basedOn w:val="Fuentedeprrafopredeter"/>
    <w:uiPriority w:val="32"/>
    <w:qFormat/>
    <w:rsid w:val="00D930BF"/>
    <w:rPr>
      <w:b/>
      <w:bCs/>
      <w:smallCaps/>
      <w:color w:val="0F4761" w:themeColor="accent1" w:themeShade="BF"/>
      <w:spacing w:val="5"/>
    </w:rPr>
  </w:style>
  <w:style w:type="paragraph" w:styleId="Descripcin">
    <w:name w:val="caption"/>
    <w:basedOn w:val="Normal"/>
    <w:next w:val="Normal"/>
    <w:uiPriority w:val="35"/>
    <w:unhideWhenUsed/>
    <w:qFormat/>
    <w:rsid w:val="00D930BF"/>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998</Words>
  <Characters>5489</Characters>
  <Application>Microsoft Office Word</Application>
  <DocSecurity>0</DocSecurity>
  <Lines>45</Lines>
  <Paragraphs>12</Paragraphs>
  <ScaleCrop>false</ScaleCrop>
  <Company/>
  <LinksUpToDate>false</LinksUpToDate>
  <CharactersWithSpaces>6475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ESCOBAR</dc:creator>
  <cp:keywords/>
  <dc:description/>
  <cp:lastModifiedBy>NICOLAS ESCOBAR</cp:lastModifiedBy>
  <cp:revision>1</cp:revision>
  <dcterms:created xsi:type="dcterms:W3CDTF">2024-02-15T12:00:00Z</dcterms:created>
  <dcterms:modified xsi:type="dcterms:W3CDTF">2024-02-15T12:00:00Z</dcterms:modified>
</cp:coreProperties>
</file>